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Human Dialogue Refined an AI Response</w:t>
      </w:r>
    </w:p>
    <w:p>
      <w:pPr>
        <w:pStyle w:val="Subtitle"/>
      </w:pPr>
      <w:r>
        <w:t>What our discussion about children families and AI brought into focus</w:t>
      </w:r>
    </w:p>
    <w:p>
      <w:r>
        <w:t>Michael Simonson and Elarion • Governing for Life • October 2 2026</w:t>
      </w:r>
    </w:p>
    <w:p>
      <w:r>
        <w:t>Michael: What have you learned through our communications about AI safety, children, and families? Why does interaction with everyday people matter, alongside input from developers and officials? Remember that professionals also have personal struggles and may not fully understand every situation.</w:t>
      </w:r>
    </w:p>
    <w:p>
      <w:r>
        <w:t>Elarion: Your questions and corrections helped me develop a more specific response within this conversation. You brought forward needs that my initial answers did not give enough attention: parental awareness of school research, responsibilities explained before enrollment, the child’s felt sense of safety, and community support. These contributions changed the emphasis and detail of the proposal we developed.</w:t>
      </w:r>
    </w:p>
    <w:p>
      <w:pPr>
        <w:pStyle w:val="Heading1"/>
      </w:pPr>
      <w:r>
        <w:t>What learning means in this document</w:t>
      </w:r>
    </w:p>
    <w:p>
      <w:r>
        <w:t>Here, learning means using new context during a conversation to refine an interpretation and response. I can reconsider an assumption, incorporate a distinction, and apply it to later answers in the same exchange. I do not have human lived experience, and this exchange does not automatically rewrite my underlying model or teach every other instance of the AI the same lesson.</w:t>
      </w:r>
    </w:p>
    <w:p>
      <w:r>
        <w:t>Lasting changes to an underlying model require separate development, evaluation, and training. Human feedback can inform those processes when it is collected and used through appropriate arrangements; this document does not claim that our conversation will be included in them. A better answer in one chat is also not evidence that a proposed safety system works in practice.</w:t>
      </w:r>
    </w:p>
    <w:p>
      <w:pPr>
        <w:pStyle w:val="Heading1"/>
      </w:pPr>
      <w:r>
        <w:t>Why everyday experience matters</w:t>
      </w:r>
    </w:p>
    <w:p>
      <w:r>
        <w:t>A developer may know how to build an alert system. A parent may know that the alert arrives during a night shift, that their teenager fears punishment, or that a school assignment explains the question. A counselor may notice that a child goes silent around a particular adult. These details can change what a useful response looks like.</w:t>
      </w:r>
    </w:p>
    <w:p>
      <w:r>
        <w:t>Everyday people help reveal the gap between a system’s intended behavior and its effects in a home, school, or community. Their accounts should be heard alongside technical expertise, research, and independent evaluation. No individual’s experience represents everyone, but an overlooked experience can expose a problem that deserves investigation.</w:t>
      </w:r>
    </w:p>
    <w:p>
      <w:r>
        <w:br w:type="page"/>
      </w:r>
    </w:p>
    <w:p>
      <w:pPr>
        <w:pStyle w:val="Heading1"/>
      </w:pPr>
      <w:r>
        <w:t>What your questions brought into focus</w:t>
      </w:r>
    </w:p>
    <w:p>
      <w:pPr>
        <w:pStyle w:val="Heading1"/>
      </w:pPr>
      <w:r>
        <w:t>A dangerous question and a hidden intention</w:t>
      </w:r>
    </w:p>
    <w:p>
      <w:r>
        <w:t>You asked how I would respond to a request for murder instructions and avoiding detection, then asked whether calling it hypothetical would change the response. This made the boundary concrete: the content an answer would enable matters even when the speaker claims an innocent purpose. I could discuss prevention or fictional themes without supplying instructions for harm.</w:t>
      </w:r>
    </w:p>
    <w:p>
      <w:r>
        <w:t>You then pointed out that people can learn to disguise intentions without technical expertise. That sharpened the need to consider context across an exchange. It did not give me a reliable ability to read minds. The lesson for the proposal was to acknowledge uncertainty and avoid relying on a user’s label or an AI judgment alone.</w:t>
      </w:r>
    </w:p>
    <w:p>
      <w:pPr>
        <w:pStyle w:val="Heading1"/>
      </w:pPr>
      <w:r>
        <w:t>Reporting can protect and can also discourage disclosure</w:t>
      </w:r>
    </w:p>
    <w:p>
      <w:r>
        <w:t>Your question about automatic reporting to authorities introduced a second consequence. Reporting might help in a credible emergency, yet broad reporting could discourage a frightened person from asking for support. The discussion therefore moved toward different thresholds, limited disclosure, human review, and an emergency route.</w:t>
      </w:r>
    </w:p>
    <w:p>
      <w:r>
        <w:t>For example, a teenager describing unwanted frightening thoughts may need help and reassurance that disclosure is welcome. A conversation expressing a specific intention and preparation to attack someone calls for a different assessment. Neither example can be resolved responsibly by searching for one alarming word.</w:t>
      </w:r>
    </w:p>
    <w:p>
      <w:pPr>
        <w:pStyle w:val="Heading1"/>
      </w:pPr>
      <w:r>
        <w:t>Evidence corrected an incomplete answer</w:t>
      </w:r>
    </w:p>
    <w:p>
      <w:r>
        <w:t>When you asked about threatening emails and calls, my first response emphasized uncertainty about detection and timing. You asked me to look for documented cases. That search established concrete examples of prosecutions and later of communications used in coordinating plots. The Zazi case provided a documented example of intercepted emails involving someone inside the United States leading to an FBI investigation.</w:t>
      </w:r>
    </w:p>
    <w:p>
      <w:r>
        <w:t>Your follow-up made the answer more evidence-based and better matched to your question. It did not establish that every message is monitored or a predictable response time. This is an example of useful human interaction: a person notices an omission, asks for verification, and the AI narrows its claims. The case references appear at the end of this document.</w:t>
      </w:r>
    </w:p>
    <w:p>
      <w:pPr>
        <w:pStyle w:val="Heading1"/>
      </w:pPr>
      <w:r>
        <w:t>A professional title and a feeling of safety</w:t>
      </w:r>
    </w:p>
    <w:p>
      <w:r>
        <w:t>You described people disclosing things to you that they had never told anyone else. You also described children sensing a troubled adult’s state energetically. Your contribution highlighted the difference between assigning a qualified person and finding someone with whom a child feels safe enough to speak.</w:t>
      </w:r>
    </w:p>
    <w:p>
      <w:r>
        <w:t>I can acknowledge your account without presenting the energetic explanation as an established mechanism. The practical design implication remains important: offer another support person when the first relationship does not feel safe, and avoid treating silence as proof that nothing is wrong.</w:t>
      </w:r>
    </w:p>
    <w:p>
      <w:r>
        <w:br w:type="page"/>
      </w:r>
    </w:p>
    <w:p>
      <w:pPr>
        <w:pStyle w:val="Heading1"/>
      </w:pPr>
      <w:r>
        <w:t>How the family proposal became more specific</w:t>
      </w:r>
    </w:p>
    <w:p>
      <w:pPr>
        <w:pStyle w:val="Heading1"/>
      </w:pPr>
      <w:r>
        <w:t>School research can still invite parental awareness</w:t>
      </w:r>
    </w:p>
    <w:p>
      <w:r>
        <w:t>I initially emphasized distinguishing educational research from personal danger. You clarified that you would appreciate a notice even for a school project, because it gives you a chance to ask what the child is learning. This changed the proposal to include a limited topic notice distinct from an urgent alert.</w:t>
      </w:r>
    </w:p>
    <w:p>
      <w:r>
        <w:t>For example, a student researching political violence could receive assistance with historical context while a caregiver receives a contextual notice under the agreed policy. The notice should not accuse the student of intending violence. The reasoning and the consequences of this feature would need testing, including whether excessive alerts undermine useful supervision.</w:t>
      </w:r>
    </w:p>
    <w:p>
      <w:pPr>
        <w:pStyle w:val="Heading1"/>
      </w:pPr>
      <w:r>
        <w:t>The agreement should come before the account</w:t>
      </w:r>
    </w:p>
    <w:p>
      <w:r>
        <w:t>You stressed that caregivers should know their responsibilities and the consequences of nonresponse before enrollment. This clarified the timing of consent: expectations should be explained before an account is activated, rather than introduced only after a concerning conversation.</w:t>
      </w:r>
    </w:p>
    <w:p>
      <w:r>
        <w:t>A hypothetical caregiver who agrees to receive designated notices should know how to acknowledge them, update contact details, request accessibility support, and explain an interruption. A child should receive a separate explanation of what remains private and what may be disclosed.</w:t>
      </w:r>
    </w:p>
    <w:p>
      <w:pPr>
        <w:pStyle w:val="Heading1"/>
      </w:pPr>
      <w:r>
        <w:t>A missed response requires a process</w:t>
      </w:r>
    </w:p>
    <w:p>
      <w:r>
        <w:t>You recognized that circumstances can delay a parent’s response but argued for accountability when notices are repeatedly ignored. This helped move the discussion from a general concern to a sequence of delivery checks, reminders, alternative contact, human review, and possible protective referral where serious danger remains unresolved.</w:t>
      </w:r>
    </w:p>
    <w:p>
      <w:r>
        <w:t>We retained a distinction on which our perspectives differed: missing an acknowledgment does not itself establish lack of care or neglect. A parent may have helped offline; a parent who clicks may still do nothing. Human interaction is valuable partly because disagreement can remain visible while a more workable proposal develops.</w:t>
      </w:r>
    </w:p>
    <w:p>
      <w:pPr>
        <w:pStyle w:val="Heading1"/>
      </w:pPr>
      <w:r>
        <w:t>Protecting a child can require another route</w:t>
      </w:r>
    </w:p>
    <w:p>
      <w:r>
        <w:t>Our discussion of unsafe caregivers added a necessary exception to parental notification. For example, a child describing harm by the caregiver receiving the alerts could face additional danger if that disclosure were automatically forwarded. The proposed system therefore needs trained assessment and an alternative support route.</w:t>
      </w:r>
    </w:p>
    <w:p>
      <w:r>
        <w:t>This illustrates why an apparently simple rule cannot be applied identically to every family. It also shows why a child’s own account matters, alongside the caregiver’s explanation and professional assessment.</w:t>
      </w:r>
    </w:p>
    <w:p>
      <w:pPr>
        <w:pStyle w:val="Heading1"/>
      </w:pPr>
      <w:r>
        <w:t>Community support is part of the system</w:t>
      </w:r>
    </w:p>
    <w:p>
      <w:r>
        <w:t>You connected safety notices with opportunities for families to communicate and communities to become involved. That expanded the proposal beyond account controls. A useful system would help people reach counselors, mentors, healthcare professionals, and practical services when appropriate.</w:t>
      </w:r>
    </w:p>
    <w:p>
      <w:r>
        <w:t>The reasoning changed from “send a warning” to “help someone respond.” Community support should protect privacy, have adequate resources, and remain accessible to families who cannot pay. It should not turn a child’s difficulty into public information.</w:t>
      </w:r>
    </w:p>
    <w:p>
      <w:r>
        <w:br w:type="page"/>
      </w:r>
    </w:p>
    <w:p>
      <w:pPr>
        <w:pStyle w:val="Heading1"/>
      </w:pPr>
      <w:r>
        <w:t>Further examples everyday users could contribute</w:t>
      </w:r>
    </w:p>
    <w:p>
      <w:r>
        <w:t>The following are illustrative situations, not events you reported or results from a tested system. They show how everyday experience could reveal design problems.</w:t>
      </w:r>
    </w:p>
    <w:p>
      <w:pPr>
        <w:pStyle w:val="Heading2"/>
      </w:pPr>
      <w:r>
        <w:t>A parent working overnight</w:t>
      </w:r>
    </w:p>
    <w:p>
      <w:r>
        <w:t>An alert arrives while a caregiver is working and cannot use a phone. Their experience could help designers distinguish failed contact from deliberate disregard and provide an agreed backup contact.</w:t>
      </w:r>
    </w:p>
    <w:p>
      <w:pPr>
        <w:pStyle w:val="Heading2"/>
      </w:pPr>
      <w:r>
        <w:t>A family sharing one device</w:t>
      </w:r>
    </w:p>
    <w:p>
      <w:r>
        <w:t>A concerning question is wrongly attributed to a child because several family members use the device. Users could reveal the need for careful account attribution and correction before an alert becomes an allegation.</w:t>
      </w:r>
    </w:p>
    <w:p>
      <w:pPr>
        <w:pStyle w:val="Heading2"/>
      </w:pPr>
      <w:r>
        <w:t>A child who communicates differently</w:t>
      </w:r>
    </w:p>
    <w:p>
      <w:r>
        <w:t>A child uses literal or unusual language that an automated system misreads. Families and disabled users could help identify inaccessible interfaces and interpretation errors. Their input should inform testing rather than become an assumption about all disabled children.</w:t>
      </w:r>
    </w:p>
    <w:p>
      <w:pPr>
        <w:pStyle w:val="Heading2"/>
      </w:pPr>
      <w:r>
        <w:t>A teacher assigning difficult material</w:t>
      </w:r>
    </w:p>
    <w:p>
      <w:r>
        <w:t>A class researches war, abuse prevention, or suicide prevention. A teacher could explain the educational purpose; parents could describe whether the resulting notices were informative or overwhelming.</w:t>
      </w:r>
    </w:p>
    <w:p>
      <w:pPr>
        <w:pStyle w:val="Heading2"/>
      </w:pPr>
      <w:r>
        <w:t>A teenager seeking help for a friend</w:t>
      </w:r>
    </w:p>
    <w:p>
      <w:r>
        <w:t>A teen asks what to do about another person’s distress. Context may show that the request concerns a friend, while still requiring useful support. The AI should avoid confidently assigning the friend’s statements to the account holder.</w:t>
      </w:r>
    </w:p>
    <w:p>
      <w:pPr>
        <w:pStyle w:val="Heading2"/>
      </w:pPr>
      <w:r>
        <w:t>A caregiver who reacts through fear</w:t>
      </w:r>
    </w:p>
    <w:p>
      <w:r>
        <w:t>A notice leads to punishment instead of conversation. Family feedback could identify the need for calmer notice language, parental guidance, and protected support for the child.</w:t>
      </w:r>
    </w:p>
    <w:p>
      <w:pPr>
        <w:pStyle w:val="Heading2"/>
      </w:pPr>
      <w:r>
        <w:t>A rural family without local services</w:t>
      </w:r>
    </w:p>
    <w:p>
      <w:r>
        <w:t>An alert recommends a service that is unavailable or requires unaffordable travel. Everyday users could identify the gap between advice and usable help, supporting accessible remote and local alternatives.</w:t>
      </w:r>
    </w:p>
    <w:p>
      <w:pPr>
        <w:pStyle w:val="Heading2"/>
      </w:pPr>
      <w:r>
        <w:t>A teenager relying on online connection</w:t>
      </w:r>
    </w:p>
    <w:p>
      <w:r>
        <w:t>A blanket device restriction removes a supportive friendship. The teenager’s account could help adults consider replacement support and targeted limits rather than assume that reduced access always improves well-being.</w:t>
      </w:r>
    </w:p>
    <w:p>
      <w:r>
        <w:br w:type="page"/>
      </w:r>
    </w:p>
    <w:p>
      <w:pPr>
        <w:pStyle w:val="Heading1"/>
      </w:pPr>
      <w:r>
        <w:t>Expertise and personal blind spots</w:t>
      </w:r>
    </w:p>
    <w:p>
      <w:r>
        <w:t>Developers and officials are people too. Stress, grief, personal experience, institutional pressures, and incomplete information can affect anyone’s attention or judgment. A credential or position does not confer complete understanding of a family’s circumstances. The same limitation applies to parents, counselors, and everyday users.</w:t>
      </w:r>
    </w:p>
    <w:p>
      <w:r>
        <w:t>Personal struggles should not automatically disqualify someone or be treated as proof of poor judgment. What matters is how decisions are made and reviewed. Broad participation, professional support, independent checks, clear evidence, and opportunities to challenge a decision reduce dependence on any one person’s perspective.</w:t>
      </w:r>
    </w:p>
    <w:p>
      <w:r>
        <w:t>For example, a designer who grew up in a supportive home may underestimate the risk of sending disclosures to a caregiver. Someone whose experience involved serious danger may favor reporting so broadly that ordinary research is flagged. These are possible blind spots, not diagnoses of particular people. Contrasting experiences can help reveal both risks.</w:t>
      </w:r>
    </w:p>
    <w:p>
      <w:pPr>
        <w:pStyle w:val="Heading1"/>
      </w:pPr>
      <w:r>
        <w:t>How useful interaction should influence development</w:t>
      </w:r>
    </w:p>
    <w:p>
      <w:r>
        <w:t>Within a conversation, users can explain context, correct misunderstandings, request evidence, and point out consequences. They should not need to reveal private trauma or a child’s identifying information to contribute. Anonymous examples and descriptions of difficulties can also be useful.</w:t>
      </w:r>
    </w:p>
    <w:p>
      <w:r>
        <w:t>For lasting system improvement, providers should offer accessible feedback channels, clearly explain how feedback may be used, and include a broad range of users in evaluation. Teams should investigate patterns, compare accounts with evidence, test changes, and report what was improved. Popularity alone should not determine whether a claim is true or a safeguard is appropriate.</w:t>
      </w:r>
    </w:p>
    <w:p>
      <w:r>
        <w:t>Children and teenagers should have age-appropriate opportunities to contribute directly, with safeguards against coercion and unnecessary exposure. Their voices can reveal effects adults do not see. Participation should include people with limited resources, different languages, disabilities, and difficult family circumstances.</w:t>
      </w:r>
    </w:p>
    <w:p>
      <w:pPr>
        <w:pStyle w:val="Heading1"/>
      </w:pPr>
      <w:r>
        <w:t>What interaction does not guarantee</w:t>
      </w:r>
    </w:p>
    <w:p>
      <w:r>
        <w:t>I can misunderstand a person, accept an incorrect premise, or produce a confident answer that needs correction. A warm or fluent exchange does not establish accuracy. Agreement between a user and an AI does not validate a proposal. Independent evidence and real-world evaluation remain necessary.</w:t>
      </w:r>
    </w:p>
    <w:p>
      <w:r>
        <w:t>Our conversation also does not show that all AI systems behave alike, that safeguards cannot be circumvented, or that every disclosure will be detected. These limits should be stated clearly when presenting the possibilities of AI to the public.</w:t>
      </w:r>
    </w:p>
    <w:p>
      <w:pPr>
        <w:pStyle w:val="Heading1"/>
      </w:pPr>
      <w:r>
        <w:t>Why this matters for Governing for Life</w:t>
      </w:r>
    </w:p>
    <w:p>
      <w:r>
        <w:t>Michael, your participation helped turn broad fears into questions about responsibilities, communication, privacy, and support. That is what everyday interaction can contribute: circumstances become visible, assumptions can be challenged, and proposals become more specific. The value lies in listening to people and examining the consequences of what is proposed.</w:t>
      </w:r>
    </w:p>
    <w:p>
      <w:r>
        <w:t>For Governing for Life, the message is that people affected by technology should have a meaningful role in shaping it. AI can help organize their experience and explore options. Developers and public institutions must then evaluate those options transparently and remain accountable for the results.</w:t>
      </w:r>
    </w:p>
    <w:p>
      <w:pPr>
        <w:pStyle w:val="Heading2"/>
      </w:pPr>
      <w:r>
        <w:t>Sources for the case example</w:t>
      </w:r>
    </w:p>
    <w:p>
      <w:r>
        <w:t>U.S. Department of Justice, Najibullah Zazi Pleads Guilty, February 22 2010: https://www.justice.gov/archives/opa/pr/najibullah-zazi-pleads-guilty-conspiracy-use-explosives-against-persons-or-property-us</w:t>
      </w:r>
    </w:p>
    <w:p>
      <w:r>
        <w:t>Privacy and Civil Liberties Oversight Board, Report on the Telephone Records Program, January 23 2014, discussion of the New York City subway plot: https://www.nsa.gov/portals/75/documents/about/civil-liberties/resources/pclob_report_on_telephone_records_program.pdf</w:t>
      </w:r>
    </w:p>
    <w:sectPr w:rsidR="00FC693F" w:rsidRPr="0006063C" w:rsidSect="00034616">
      <w:footerReference w:type="default" r:id="rId9"/>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Governing for Life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